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BD8" w:rsidRDefault="00BB5290" w:rsidP="00BB5290">
      <w:r>
        <w:t>This r</w:t>
      </w:r>
      <w:r>
        <w:t>eformats the Lighting Times data providers into a single, time ordered report of all conditions (as opposed to each condition in a separate report section).</w:t>
      </w:r>
    </w:p>
    <w:p w:rsidR="00BB5290" w:rsidRDefault="00BB5290" w:rsidP="00BB5290">
      <w:r>
        <w:rPr>
          <w:noProof/>
        </w:rPr>
        <w:drawing>
          <wp:inline distT="0" distB="0" distL="0" distR="0">
            <wp:extent cx="5937250" cy="56959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569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52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E0B"/>
    <w:rsid w:val="00B17E0B"/>
    <w:rsid w:val="00BB5290"/>
    <w:rsid w:val="00CD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5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5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</dc:creator>
  <cp:keywords/>
  <dc:description/>
  <cp:lastModifiedBy>AGI</cp:lastModifiedBy>
  <cp:revision>2</cp:revision>
  <dcterms:created xsi:type="dcterms:W3CDTF">2015-11-11T12:34:00Z</dcterms:created>
  <dcterms:modified xsi:type="dcterms:W3CDTF">2015-11-11T12:35:00Z</dcterms:modified>
</cp:coreProperties>
</file>