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770F9" w:rsidRPr="00EB1E6B" w:rsidRDefault="00143B12" w:rsidP="00B770F9">
      <w:pPr>
        <w:jc w:val="center"/>
        <w:rPr>
          <w:b/>
          <w:sz w:val="28"/>
        </w:rPr>
      </w:pPr>
      <w:r w:rsidRPr="00EB1E6B">
        <w:rPr>
          <w:b/>
          <w:sz w:val="28"/>
        </w:rPr>
        <w:t xml:space="preserve">Computing </w:t>
      </w:r>
      <w:r w:rsidR="00B770F9" w:rsidRPr="00EB1E6B">
        <w:rPr>
          <w:b/>
          <w:sz w:val="28"/>
        </w:rPr>
        <w:t>Earthshine intensity for a lunar satellite</w:t>
      </w:r>
      <w:r w:rsidRPr="00EB1E6B">
        <w:rPr>
          <w:b/>
          <w:sz w:val="28"/>
        </w:rPr>
        <w:t xml:space="preserve"> using STK</w:t>
      </w:r>
    </w:p>
    <w:p w:rsidR="00DD297D" w:rsidRPr="00FE2CA2" w:rsidRDefault="00DD297D" w:rsidP="00B770F9">
      <w:pPr>
        <w:jc w:val="center"/>
        <w:rPr>
          <w:i/>
        </w:rPr>
      </w:pPr>
      <w:r w:rsidRPr="00FE2CA2">
        <w:rPr>
          <w:i/>
        </w:rPr>
        <w:t xml:space="preserve">Sarthak Srivastava, </w:t>
      </w:r>
      <w:r w:rsidR="00FE2CA2" w:rsidRPr="00FE2CA2">
        <w:rPr>
          <w:i/>
        </w:rPr>
        <w:t>08-Apr-2021</w:t>
      </w:r>
    </w:p>
    <w:p w:rsidR="0064407C" w:rsidRPr="00EB1E6B" w:rsidRDefault="0064407C" w:rsidP="00B770F9">
      <w:pPr>
        <w:rPr>
          <w:b/>
          <w:sz w:val="28"/>
        </w:rPr>
      </w:pPr>
      <w:r w:rsidRPr="00EB1E6B">
        <w:rPr>
          <w:b/>
          <w:sz w:val="28"/>
        </w:rPr>
        <w:t>Introduction</w:t>
      </w:r>
    </w:p>
    <w:p w:rsidR="00B770F9" w:rsidRDefault="00B770F9" w:rsidP="00B770F9">
      <w:r w:rsidRPr="00B770F9">
        <w:t xml:space="preserve">Earthshine refers to sunlight reflected from Earth onto another object. In this case, we are interested in computing the Earthshine on a spacecraft orbiting the moon. </w:t>
      </w:r>
      <w:r w:rsidR="00D929D6">
        <w:t>Figure 1 shows t</w:t>
      </w:r>
      <w:r>
        <w:t>he geometry for this problem.</w:t>
      </w:r>
    </w:p>
    <w:p w:rsidR="00B770F9" w:rsidRDefault="00B770F9" w:rsidP="00B770F9"/>
    <w:p w:rsidR="00B770F9" w:rsidRDefault="00B770F9" w:rsidP="00B770F9">
      <w:pPr>
        <w:keepNext/>
      </w:pPr>
      <w:r>
        <w:rPr>
          <w:noProof/>
        </w:rPr>
        <w:drawing>
          <wp:inline distT="0" distB="0" distL="0" distR="0" wp14:anchorId="0E47B143" wp14:editId="20DDDB32">
            <wp:extent cx="5943600" cy="3403600"/>
            <wp:effectExtent l="0" t="0" r="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40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70F9" w:rsidRDefault="00B770F9" w:rsidP="00B770F9">
      <w:pPr>
        <w:pStyle w:val="Caption"/>
        <w:jc w:val="center"/>
        <w:rPr>
          <w:sz w:val="20"/>
        </w:rPr>
      </w:pPr>
      <w:r w:rsidRPr="00B770F9">
        <w:rPr>
          <w:sz w:val="20"/>
        </w:rPr>
        <w:t xml:space="preserve">Figure </w:t>
      </w:r>
      <w:r w:rsidRPr="00B770F9">
        <w:rPr>
          <w:sz w:val="20"/>
        </w:rPr>
        <w:fldChar w:fldCharType="begin"/>
      </w:r>
      <w:r w:rsidRPr="00B770F9">
        <w:rPr>
          <w:sz w:val="20"/>
        </w:rPr>
        <w:instrText xml:space="preserve"> SEQ Figure \* ARABIC </w:instrText>
      </w:r>
      <w:r w:rsidRPr="00B770F9">
        <w:rPr>
          <w:sz w:val="20"/>
        </w:rPr>
        <w:fldChar w:fldCharType="separate"/>
      </w:r>
      <w:r w:rsidR="00A1020A">
        <w:rPr>
          <w:noProof/>
          <w:sz w:val="20"/>
        </w:rPr>
        <w:t>1</w:t>
      </w:r>
      <w:r w:rsidRPr="00B770F9">
        <w:rPr>
          <w:sz w:val="20"/>
        </w:rPr>
        <w:fldChar w:fldCharType="end"/>
      </w:r>
      <w:r w:rsidRPr="00B770F9">
        <w:rPr>
          <w:sz w:val="20"/>
        </w:rPr>
        <w:t>. Geometry for calculation of Earthshine on a lunar satellite.</w:t>
      </w:r>
    </w:p>
    <w:p w:rsidR="000A678E" w:rsidRDefault="000A678E" w:rsidP="009C25CE">
      <w:pPr>
        <w:jc w:val="both"/>
      </w:pPr>
      <w:r>
        <w:t>We can divide the Earth into 4 regions, as illustrated in figure 1. It is clear that only region D can contribute towards Earthshine on the spacecraft</w:t>
      </w:r>
      <w:r w:rsidR="00577505">
        <w:t>,</w:t>
      </w:r>
      <w:r>
        <w:t xml:space="preserve"> since only region D is </w:t>
      </w:r>
      <w:r w:rsidR="00577505">
        <w:t xml:space="preserve">both </w:t>
      </w:r>
      <w:r>
        <w:t>visible to the spacecraft AND receiving sunlight (that can be reflected).</w:t>
      </w:r>
      <w:r w:rsidR="00FD1CD8">
        <w:t xml:space="preserve"> It is apparent that computation of Earthshine requires knowing the access of spacecraft to the Earth and lighting conditions</w:t>
      </w:r>
      <w:r w:rsidR="00577505">
        <w:t>,</w:t>
      </w:r>
      <w:r w:rsidR="00FD1CD8">
        <w:t xml:space="preserve"> among other things. </w:t>
      </w:r>
    </w:p>
    <w:p w:rsidR="00EB1E6B" w:rsidRDefault="00EB1E6B" w:rsidP="000A678E"/>
    <w:p w:rsidR="00EB1E6B" w:rsidRDefault="00EB1E6B" w:rsidP="000A678E"/>
    <w:p w:rsidR="00EB1E6B" w:rsidRDefault="00EB1E6B" w:rsidP="000A678E"/>
    <w:p w:rsidR="00EB1E6B" w:rsidRDefault="00EB1E6B" w:rsidP="000A678E"/>
    <w:p w:rsidR="00EB1E6B" w:rsidRDefault="00EB1E6B" w:rsidP="000A678E"/>
    <w:p w:rsidR="00EB1E6B" w:rsidRDefault="00EB1E6B" w:rsidP="000A678E"/>
    <w:p w:rsidR="0064407C" w:rsidRPr="00EB1E6B" w:rsidRDefault="0064407C" w:rsidP="000A678E">
      <w:pPr>
        <w:rPr>
          <w:b/>
          <w:sz w:val="28"/>
        </w:rPr>
      </w:pPr>
      <w:r w:rsidRPr="00EB1E6B">
        <w:rPr>
          <w:b/>
          <w:sz w:val="28"/>
        </w:rPr>
        <w:lastRenderedPageBreak/>
        <w:t>A model for calculating Earthshine intensity</w:t>
      </w:r>
    </w:p>
    <w:p w:rsidR="00FD1CD8" w:rsidRDefault="00FD1CD8" w:rsidP="000A678E">
      <w:r>
        <w:t xml:space="preserve">We can develop a simple analytical model to perform some computations. </w:t>
      </w:r>
      <w:r w:rsidR="00D145E7">
        <w:t xml:space="preserve">We can divide the Earth </w:t>
      </w:r>
      <w:r w:rsidR="005D5A9C">
        <w:t>into a</w:t>
      </w:r>
      <w:r w:rsidR="00D145E7">
        <w:t xml:space="preserve"> lat</w:t>
      </w:r>
      <w:r w:rsidR="00577505">
        <w:t>itude</w:t>
      </w:r>
      <w:r w:rsidR="00D145E7">
        <w:t>-lon</w:t>
      </w:r>
      <w:r w:rsidR="00577505">
        <w:t>gitude</w:t>
      </w:r>
      <w:r w:rsidR="00D145E7">
        <w:t xml:space="preserve"> grid and consider a particular grid cell</w:t>
      </w:r>
      <w:r w:rsidR="00577505">
        <w:t>,</w:t>
      </w:r>
      <w:r w:rsidR="00D145E7">
        <w:t xml:space="preserve"> as shown in figure 2.</w:t>
      </w:r>
    </w:p>
    <w:p w:rsidR="00D145E7" w:rsidRDefault="00D145E7" w:rsidP="00D145E7">
      <w:pPr>
        <w:keepNext/>
        <w:jc w:val="center"/>
      </w:pPr>
      <w:r>
        <w:rPr>
          <w:noProof/>
        </w:rPr>
        <w:drawing>
          <wp:inline distT="0" distB="0" distL="0" distR="0" wp14:anchorId="653B4A50" wp14:editId="6E91DC78">
            <wp:extent cx="2789585" cy="272934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817036" cy="27562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45E7" w:rsidRDefault="00D145E7" w:rsidP="00D145E7">
      <w:pPr>
        <w:pStyle w:val="Caption"/>
        <w:jc w:val="center"/>
        <w:rPr>
          <w:sz w:val="20"/>
        </w:rPr>
      </w:pPr>
      <w:r w:rsidRPr="00D145E7">
        <w:rPr>
          <w:sz w:val="20"/>
        </w:rPr>
        <w:t xml:space="preserve">Figure </w:t>
      </w:r>
      <w:r w:rsidRPr="00D145E7">
        <w:rPr>
          <w:sz w:val="20"/>
        </w:rPr>
        <w:fldChar w:fldCharType="begin"/>
      </w:r>
      <w:r w:rsidRPr="00D145E7">
        <w:rPr>
          <w:sz w:val="20"/>
        </w:rPr>
        <w:instrText xml:space="preserve"> SEQ Figure \* ARABIC </w:instrText>
      </w:r>
      <w:r w:rsidRPr="00D145E7">
        <w:rPr>
          <w:sz w:val="20"/>
        </w:rPr>
        <w:fldChar w:fldCharType="separate"/>
      </w:r>
      <w:r w:rsidR="00A1020A">
        <w:rPr>
          <w:noProof/>
          <w:sz w:val="20"/>
        </w:rPr>
        <w:t>2</w:t>
      </w:r>
      <w:r w:rsidRPr="00D145E7">
        <w:rPr>
          <w:sz w:val="20"/>
        </w:rPr>
        <w:fldChar w:fldCharType="end"/>
      </w:r>
      <w:r w:rsidRPr="00D145E7">
        <w:rPr>
          <w:sz w:val="20"/>
        </w:rPr>
        <w:t>. Geometry for a grid cell (shaded gray) on Earth</w:t>
      </w:r>
    </w:p>
    <w:p w:rsidR="00715125" w:rsidRPr="00442991" w:rsidRDefault="00030988" w:rsidP="009C25CE">
      <w:pPr>
        <w:jc w:val="both"/>
        <w:rPr>
          <w:rFonts w:eastAsiaTheme="minorEastAsia"/>
        </w:rPr>
      </w:pPr>
      <w:r>
        <w:t xml:space="preserve">Sunlight is incident on the grid cell (with area </w:t>
      </w:r>
      <m:oMath>
        <m:r>
          <w:rPr>
            <w:rFonts w:ascii="Cambria Math" w:hAnsi="Cambria Math"/>
          </w:rPr>
          <m:t>dA</m:t>
        </m:r>
      </m:oMath>
      <w:r>
        <w:t xml:space="preserve">) at an angle </w:t>
      </w:r>
      <m:oMath>
        <m:r>
          <w:rPr>
            <w:rFonts w:ascii="Cambria Math" w:hAnsi="Cambria Math"/>
          </w:rPr>
          <m:t>θ</m:t>
        </m:r>
      </m:oMath>
      <w:r>
        <w:rPr>
          <w:rFonts w:eastAsiaTheme="minorEastAsia"/>
        </w:rPr>
        <w:t xml:space="preserve"> with respect to the grid cell normal vector (</w:t>
      </w:r>
      <m:oMath>
        <m:acc>
          <m:accPr>
            <m:ctrlPr>
              <w:rPr>
                <w:rFonts w:ascii="Cambria Math" w:eastAsiaTheme="minorEastAsia" w:hAnsi="Cambria Math"/>
                <w:i/>
              </w:rPr>
            </m:ctrlPr>
          </m:accPr>
          <m:e>
            <m:r>
              <w:rPr>
                <w:rFonts w:ascii="Cambria Math" w:eastAsiaTheme="minorEastAsia" w:hAnsi="Cambria Math"/>
              </w:rPr>
              <m:t>n</m:t>
            </m:r>
          </m:e>
        </m:acc>
      </m:oMath>
      <w:r>
        <w:rPr>
          <w:rFonts w:eastAsiaTheme="minorEastAsia"/>
        </w:rPr>
        <w:t xml:space="preserve">). The reflected light leaves the cell at an angle </w:t>
      </w:r>
      <m:oMath>
        <m:r>
          <w:rPr>
            <w:rFonts w:ascii="Cambria Math" w:hAnsi="Cambria Math"/>
          </w:rPr>
          <m:t>φ</m:t>
        </m:r>
      </m:oMath>
      <w:r>
        <w:rPr>
          <w:rFonts w:eastAsiaTheme="minorEastAsia"/>
        </w:rPr>
        <w:t xml:space="preserve"> with respect to the normal and reaches the target at distance </w:t>
      </w:r>
      <m:oMath>
        <m:r>
          <w:rPr>
            <w:rFonts w:ascii="Cambria Math" w:eastAsiaTheme="minorEastAsia" w:hAnsi="Cambria Math"/>
          </w:rPr>
          <m:t>l.</m:t>
        </m:r>
      </m:oMath>
      <w:r w:rsidR="00715125">
        <w:rPr>
          <w:rFonts w:eastAsiaTheme="minorEastAsia"/>
        </w:rPr>
        <w:t xml:space="preserve"> </w:t>
      </w:r>
    </w:p>
    <w:p w:rsidR="00577505" w:rsidRDefault="00715125" w:rsidP="009C25CE">
      <w:pPr>
        <w:jc w:val="both"/>
        <w:rPr>
          <w:rFonts w:eastAsiaTheme="minorEastAsia"/>
        </w:rPr>
      </w:pPr>
      <w:r>
        <w:rPr>
          <w:rFonts w:eastAsiaTheme="minorEastAsia"/>
        </w:rPr>
        <w:t>Total Earthshine intensity at any time can be written as</w:t>
      </w:r>
    </w:p>
    <w:p w:rsidR="00030988" w:rsidRDefault="00577505" w:rsidP="009C25CE">
      <w:pPr>
        <w:jc w:val="both"/>
        <w:rPr>
          <w:rFonts w:eastAsiaTheme="minorEastAsia"/>
          <w:b/>
          <w:bCs/>
          <w:iCs/>
          <w:sz w:val="32"/>
        </w:rPr>
      </w:pPr>
      <w:r>
        <w:rPr>
          <w:rFonts w:eastAsiaTheme="minorEastAsia"/>
        </w:rPr>
        <w:tab/>
      </w:r>
      <w:r w:rsidR="00715125">
        <w:rPr>
          <w:rFonts w:eastAsiaTheme="minorEastAsia"/>
        </w:rPr>
        <w:t xml:space="preserve"> E (W/m</w:t>
      </w:r>
      <w:r w:rsidR="00715125">
        <w:rPr>
          <w:rFonts w:eastAsiaTheme="minorEastAsia"/>
          <w:vertAlign w:val="superscript"/>
        </w:rPr>
        <w:t>2</w:t>
      </w:r>
      <w:r w:rsidR="00715125">
        <w:rPr>
          <w:rFonts w:eastAsiaTheme="minorEastAsia"/>
        </w:rPr>
        <w:t xml:space="preserve">) = </w:t>
      </w:r>
      <m:oMath>
        <m:nary>
          <m:naryPr>
            <m:chr m:val="∑"/>
            <m:subHide m:val="1"/>
            <m:supHide m:val="1"/>
            <m:ctrlPr>
              <w:rPr>
                <w:rFonts w:ascii="Cambria Math" w:eastAsiaTheme="minorEastAsia" w:hAnsi="Cambria Math"/>
                <w:b/>
                <w:bCs/>
                <w:i/>
                <w:iCs/>
                <w:sz w:val="32"/>
              </w:rPr>
            </m:ctrlPr>
          </m:naryPr>
          <m:sub/>
          <m:sup/>
          <m:e>
            <m:f>
              <m:fPr>
                <m:ctrlPr>
                  <w:rPr>
                    <w:rFonts w:ascii="Cambria Math" w:eastAsiaTheme="minorEastAsia" w:hAnsi="Cambria Math"/>
                    <w:b/>
                    <w:bCs/>
                    <w:i/>
                    <w:iCs/>
                    <w:sz w:val="32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32"/>
                  </w:rPr>
                  <m:t>(S</m:t>
                </m:r>
                <m:func>
                  <m:funcPr>
                    <m:ctrlPr>
                      <w:rPr>
                        <w:rFonts w:ascii="Cambria Math" w:eastAsiaTheme="minorEastAsia" w:hAnsi="Cambria Math"/>
                        <w:b/>
                        <w:bCs/>
                        <w:i/>
                        <w:iCs/>
                        <w:sz w:val="32"/>
                      </w:rPr>
                    </m:ctrlPr>
                  </m:funcPr>
                  <m:fName>
                    <m:r>
                      <m:rPr>
                        <m:sty m:val="b"/>
                      </m:rPr>
                      <w:rPr>
                        <w:rFonts w:ascii="Cambria Math" w:eastAsiaTheme="minorEastAsia" w:hAnsi="Cambria Math"/>
                        <w:sz w:val="32"/>
                      </w:rPr>
                      <m:t>cos</m:t>
                    </m:r>
                  </m:fName>
                  <m:e>
                    <m:r>
                      <m:rPr>
                        <m:sty m:val="bi"/>
                      </m:rPr>
                      <w:rPr>
                        <w:rFonts w:ascii="Cambria Math" w:eastAsiaTheme="minorEastAsia" w:hAnsi="Cambria Math"/>
                        <w:sz w:val="32"/>
                      </w:rPr>
                      <m:t>θ)</m:t>
                    </m:r>
                  </m:e>
                </m:func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32"/>
                  </w:rPr>
                  <m:t>×</m:t>
                </m:r>
                <m:func>
                  <m:funcPr>
                    <m:ctrlPr>
                      <w:rPr>
                        <w:rFonts w:ascii="Cambria Math" w:eastAsiaTheme="minorEastAsia" w:hAnsi="Cambria Math"/>
                        <w:b/>
                        <w:bCs/>
                        <w:i/>
                        <w:iCs/>
                        <w:sz w:val="32"/>
                      </w:rPr>
                    </m:ctrlPr>
                  </m:funcPr>
                  <m:fName>
                    <m:r>
                      <m:rPr>
                        <m:sty m:val="b"/>
                      </m:rPr>
                      <w:rPr>
                        <w:rFonts w:ascii="Cambria Math" w:eastAsiaTheme="minorEastAsia" w:hAnsi="Cambria Math"/>
                        <w:sz w:val="32"/>
                      </w:rPr>
                      <m:t>(acos</m:t>
                    </m:r>
                  </m:fName>
                  <m:e>
                    <m:r>
                      <m:rPr>
                        <m:sty m:val="bi"/>
                      </m:rPr>
                      <w:rPr>
                        <w:rFonts w:ascii="Cambria Math" w:eastAsiaTheme="minorEastAsia" w:hAnsi="Cambria Math"/>
                        <w:sz w:val="32"/>
                      </w:rPr>
                      <m:t>φ)</m:t>
                    </m:r>
                  </m:e>
                </m:func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32"/>
                  </w:rPr>
                  <m:t>×</m:t>
                </m:r>
                <m:r>
                  <m:rPr>
                    <m:sty m:val="b"/>
                  </m:rPr>
                  <w:rPr>
                    <w:rFonts w:ascii="Cambria Math" w:eastAsiaTheme="minorEastAsia" w:hAnsi="Cambria Math"/>
                    <w:sz w:val="32"/>
                  </w:rPr>
                  <m:t>dA</m:t>
                </m:r>
              </m:num>
              <m:den>
                <m:sSup>
                  <m:sSupPr>
                    <m:ctrlPr>
                      <w:rPr>
                        <w:rFonts w:ascii="Cambria Math" w:eastAsiaTheme="minorEastAsia" w:hAnsi="Cambria Math"/>
                        <w:b/>
                        <w:bCs/>
                        <w:i/>
                        <w:iCs/>
                        <w:sz w:val="32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eastAsiaTheme="minorEastAsia" w:hAnsi="Cambria Math"/>
                        <w:sz w:val="32"/>
                      </w:rPr>
                      <m:t>l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eastAsiaTheme="minorEastAsia" w:hAnsi="Cambria Math"/>
                        <w:sz w:val="32"/>
                      </w:rPr>
                      <m:t>2</m:t>
                    </m:r>
                  </m:sup>
                </m:sSup>
              </m:den>
            </m:f>
          </m:e>
        </m:nary>
      </m:oMath>
    </w:p>
    <w:p w:rsidR="0044129F" w:rsidRDefault="00577505" w:rsidP="009C25CE">
      <w:pPr>
        <w:jc w:val="both"/>
      </w:pPr>
      <w:r>
        <w:rPr>
          <w:rFonts w:eastAsiaTheme="minorEastAsia"/>
        </w:rPr>
        <w:t>w</w:t>
      </w:r>
      <w:r w:rsidR="00442991">
        <w:rPr>
          <w:rFonts w:eastAsiaTheme="minorEastAsia"/>
        </w:rPr>
        <w:t>here the sum is across all “valid” grid cells on the Earth surface</w:t>
      </w:r>
      <w:r>
        <w:rPr>
          <w:rFonts w:eastAsiaTheme="minorEastAsia"/>
        </w:rPr>
        <w:t xml:space="preserve"> —</w:t>
      </w:r>
      <w:r w:rsidR="00442991">
        <w:rPr>
          <w:rFonts w:eastAsiaTheme="minorEastAsia"/>
        </w:rPr>
        <w:t xml:space="preserve"> grid cells having visibility to the target AND receiving sunlight. Incident solar radiance </w:t>
      </w:r>
      <m:oMath>
        <m:r>
          <w:rPr>
            <w:rFonts w:ascii="Cambria Math" w:eastAsiaTheme="minorEastAsia" w:hAnsi="Cambria Math"/>
          </w:rPr>
          <m:t>S</m:t>
        </m:r>
      </m:oMath>
      <w:r w:rsidR="00442991">
        <w:rPr>
          <w:rFonts w:eastAsiaTheme="minorEastAsia"/>
        </w:rPr>
        <w:t xml:space="preserve"> is ~1367 W/m</w:t>
      </w:r>
      <w:r w:rsidR="00442991">
        <w:rPr>
          <w:rFonts w:eastAsiaTheme="minorEastAsia"/>
          <w:vertAlign w:val="superscript"/>
        </w:rPr>
        <w:t>2</w:t>
      </w:r>
      <w:r w:rsidR="00442991">
        <w:rPr>
          <w:rFonts w:eastAsiaTheme="minorEastAsia"/>
        </w:rPr>
        <w:t xml:space="preserve"> at Earth, and </w:t>
      </w:r>
      <m:oMath>
        <m:r>
          <w:rPr>
            <w:rFonts w:ascii="Cambria Math" w:hAnsi="Cambria Math"/>
          </w:rPr>
          <m:t>a</m:t>
        </m:r>
      </m:oMath>
      <w:r w:rsidR="00584CF8">
        <w:t xml:space="preserve"> refers to</w:t>
      </w:r>
      <w:r w:rsidR="005D2CBF">
        <w:t xml:space="preserve"> </w:t>
      </w:r>
      <w:r w:rsidR="00584CF8">
        <w:t>Earth’s albedo.</w:t>
      </w:r>
      <w:r w:rsidR="0044129F">
        <w:t xml:space="preserve"> </w:t>
      </w:r>
      <w:r>
        <w:t>You can perform t</w:t>
      </w:r>
      <w:r w:rsidR="0044129F">
        <w:t xml:space="preserve">his computation using STK coverage and some external scripting. </w:t>
      </w:r>
      <w:r w:rsidR="00B9083F">
        <w:t>T</w:t>
      </w:r>
      <w:r w:rsidR="0044129F">
        <w:t>his simple model</w:t>
      </w:r>
      <w:r w:rsidR="00B9083F">
        <w:t xml:space="preserve"> makes the following</w:t>
      </w:r>
      <w:r w:rsidR="0044129F">
        <w:t xml:space="preserve"> assumptions:</w:t>
      </w:r>
    </w:p>
    <w:p w:rsidR="0044129F" w:rsidRPr="0044129F" w:rsidRDefault="0044129F" w:rsidP="009C25CE">
      <w:pPr>
        <w:pStyle w:val="ListParagraph"/>
        <w:numPr>
          <w:ilvl w:val="0"/>
          <w:numId w:val="1"/>
        </w:numPr>
        <w:jc w:val="both"/>
      </w:pPr>
      <w:r w:rsidRPr="0044129F">
        <w:t xml:space="preserve">Solar irradiance </w:t>
      </w:r>
      <m:oMath>
        <m:r>
          <w:rPr>
            <w:rFonts w:ascii="Cambria Math" w:hAnsi="Cambria Math"/>
          </w:rPr>
          <m:t>S</m:t>
        </m:r>
      </m:oMath>
      <w:r>
        <w:rPr>
          <w:rFonts w:eastAsiaTheme="minorEastAsia"/>
        </w:rPr>
        <w:t xml:space="preserve"> </w:t>
      </w:r>
      <w:r>
        <w:t xml:space="preserve">= </w:t>
      </w:r>
      <w:r w:rsidRPr="0044129F">
        <w:t>1367 W/m</w:t>
      </w:r>
      <w:r>
        <w:rPr>
          <w:vertAlign w:val="superscript"/>
        </w:rPr>
        <w:t>2</w:t>
      </w:r>
      <w:r w:rsidR="00B9083F">
        <w:t xml:space="preserve"> and is constant.</w:t>
      </w:r>
    </w:p>
    <w:p w:rsidR="0044129F" w:rsidRPr="0044129F" w:rsidRDefault="00B9083F" w:rsidP="009C25CE">
      <w:pPr>
        <w:pStyle w:val="ListParagraph"/>
        <w:numPr>
          <w:ilvl w:val="0"/>
          <w:numId w:val="1"/>
        </w:numPr>
        <w:jc w:val="both"/>
      </w:pPr>
      <w:r>
        <w:t>The model only considers</w:t>
      </w:r>
      <w:r w:rsidR="0044129F">
        <w:t xml:space="preserve"> visib</w:t>
      </w:r>
      <w:r w:rsidR="007C581F">
        <w:t>le</w:t>
      </w:r>
      <w:r w:rsidR="0044129F" w:rsidRPr="0044129F">
        <w:t xml:space="preserve"> </w:t>
      </w:r>
      <w:r w:rsidR="007C581F">
        <w:t>light</w:t>
      </w:r>
      <w:r>
        <w:t>,</w:t>
      </w:r>
      <w:r w:rsidR="007C581F">
        <w:t xml:space="preserve"> </w:t>
      </w:r>
      <w:r>
        <w:t>not</w:t>
      </w:r>
      <w:r w:rsidR="007C581F">
        <w:t xml:space="preserve"> spectral information</w:t>
      </w:r>
      <w:r>
        <w:t>.</w:t>
      </w:r>
    </w:p>
    <w:p w:rsidR="0044129F" w:rsidRPr="0044129F" w:rsidRDefault="007C581F" w:rsidP="009C25CE">
      <w:pPr>
        <w:pStyle w:val="ListParagraph"/>
        <w:numPr>
          <w:ilvl w:val="0"/>
          <w:numId w:val="1"/>
        </w:numPr>
        <w:jc w:val="both"/>
      </w:pPr>
      <w:r>
        <w:t>Albedo</w:t>
      </w:r>
      <w:r w:rsidR="00B9083F">
        <w:t>= 0.3</w:t>
      </w:r>
      <w:r>
        <w:t xml:space="preserve"> </w:t>
      </w:r>
      <w:r w:rsidR="00B9083F">
        <w:t xml:space="preserve">and </w:t>
      </w:r>
      <w:r>
        <w:t>is constant everywhere on the Earth</w:t>
      </w:r>
      <w:r w:rsidR="00B9083F">
        <w:t>.</w:t>
      </w:r>
    </w:p>
    <w:p w:rsidR="00584CF8" w:rsidRDefault="00187D72" w:rsidP="009C25CE">
      <w:pPr>
        <w:pStyle w:val="ListParagraph"/>
        <w:numPr>
          <w:ilvl w:val="0"/>
          <w:numId w:val="1"/>
        </w:numPr>
        <w:jc w:val="both"/>
      </w:pPr>
      <w:r>
        <w:t>The model assumes a point target and ignores the g</w:t>
      </w:r>
      <w:r w:rsidR="0044129F" w:rsidRPr="0044129F">
        <w:t xml:space="preserve">eometry at target (incidence angle </w:t>
      </w:r>
      <w:r w:rsidR="00EA7AE4">
        <w:t>and</w:t>
      </w:r>
      <w:r w:rsidR="0044129F" w:rsidRPr="0044129F">
        <w:t xml:space="preserve"> area)</w:t>
      </w:r>
      <w:r>
        <w:t>.</w:t>
      </w:r>
      <w:r w:rsidR="007C581F">
        <w:t xml:space="preserve"> </w:t>
      </w:r>
    </w:p>
    <w:p w:rsidR="00EB1E6B" w:rsidRDefault="00EB1E6B" w:rsidP="004F1B84">
      <w:pPr>
        <w:pStyle w:val="ListParagraph"/>
      </w:pPr>
    </w:p>
    <w:p w:rsidR="0064407C" w:rsidRDefault="0064407C" w:rsidP="0064407C">
      <w:pPr>
        <w:rPr>
          <w:b/>
          <w:sz w:val="28"/>
        </w:rPr>
      </w:pPr>
      <w:r w:rsidRPr="00EB1E6B">
        <w:rPr>
          <w:b/>
          <w:sz w:val="28"/>
        </w:rPr>
        <w:t>STK implementation</w:t>
      </w:r>
    </w:p>
    <w:p w:rsidR="004F1B84" w:rsidRPr="004F1B84" w:rsidRDefault="004F1B84" w:rsidP="009C25CE">
      <w:pPr>
        <w:jc w:val="both"/>
        <w:rPr>
          <w:i/>
        </w:rPr>
      </w:pPr>
      <w:r>
        <w:rPr>
          <w:i/>
        </w:rPr>
        <w:t>Required software: STK Systems bundle (Coverage and Integration if using MATLAB)</w:t>
      </w:r>
    </w:p>
    <w:p w:rsidR="005D5A9C" w:rsidRDefault="005D5A9C" w:rsidP="009C25CE">
      <w:pPr>
        <w:jc w:val="both"/>
      </w:pPr>
      <w:r>
        <w:t>The main steps involved in creating the scenario are:</w:t>
      </w:r>
    </w:p>
    <w:p w:rsidR="005D5A9C" w:rsidRDefault="005D5A9C" w:rsidP="009C25CE">
      <w:pPr>
        <w:pStyle w:val="ListParagraph"/>
        <w:numPr>
          <w:ilvl w:val="0"/>
          <w:numId w:val="2"/>
        </w:numPr>
        <w:jc w:val="both"/>
      </w:pPr>
      <w:r>
        <w:lastRenderedPageBreak/>
        <w:t>Model the lunar satellite.</w:t>
      </w:r>
    </w:p>
    <w:p w:rsidR="005D5A9C" w:rsidRDefault="005D5A9C" w:rsidP="009C25CE">
      <w:pPr>
        <w:pStyle w:val="ListParagraph"/>
        <w:numPr>
          <w:ilvl w:val="0"/>
          <w:numId w:val="2"/>
        </w:numPr>
        <w:jc w:val="both"/>
      </w:pPr>
      <w:r>
        <w:t>Specify a coverage grid on Earth.</w:t>
      </w:r>
    </w:p>
    <w:p w:rsidR="005D5A9C" w:rsidRDefault="005D5A9C" w:rsidP="009C25CE">
      <w:pPr>
        <w:pStyle w:val="ListParagraph"/>
        <w:numPr>
          <w:ilvl w:val="0"/>
          <w:numId w:val="2"/>
        </w:numPr>
        <w:jc w:val="both"/>
      </w:pPr>
      <w:r>
        <w:t>Create a dummy place object to constraint the coverage. Enable Direct Sun lighting condition on the place object.</w:t>
      </w:r>
    </w:p>
    <w:p w:rsidR="005D5A9C" w:rsidRDefault="005D5A9C" w:rsidP="009C25CE">
      <w:pPr>
        <w:pStyle w:val="ListParagraph"/>
        <w:numPr>
          <w:ilvl w:val="0"/>
          <w:numId w:val="2"/>
        </w:numPr>
        <w:jc w:val="both"/>
      </w:pPr>
      <w:r>
        <w:t xml:space="preserve">Constrain the </w:t>
      </w:r>
      <w:r w:rsidR="000F23B1">
        <w:t>c</w:t>
      </w:r>
      <w:r>
        <w:t xml:space="preserve">overage to use </w:t>
      </w:r>
      <w:r w:rsidR="000F23B1">
        <w:t xml:space="preserve">an </w:t>
      </w:r>
      <w:r>
        <w:t>instance of the dummy place object. This applies the place’s constraint</w:t>
      </w:r>
      <w:r w:rsidR="000F23B1">
        <w:t>,</w:t>
      </w:r>
      <w:r>
        <w:t xml:space="preserve"> which is Direct Sun lighting</w:t>
      </w:r>
      <w:r w:rsidR="000F23B1">
        <w:t>,</w:t>
      </w:r>
      <w:r>
        <w:t xml:space="preserve"> to the entire coverage grid.</w:t>
      </w:r>
    </w:p>
    <w:p w:rsidR="006D48F5" w:rsidRDefault="006D48F5" w:rsidP="006D48F5">
      <w:pPr>
        <w:pStyle w:val="ListParagraph"/>
        <w:keepNext/>
      </w:pPr>
      <w:r w:rsidRPr="006D48F5">
        <w:rPr>
          <w:noProof/>
        </w:rPr>
        <w:drawing>
          <wp:inline distT="0" distB="0" distL="0" distR="0" wp14:anchorId="4F089EF7" wp14:editId="1CEF5C50">
            <wp:extent cx="5943600" cy="2512060"/>
            <wp:effectExtent l="0" t="0" r="0" b="2540"/>
            <wp:docPr id="5" name="Picture 4">
              <a:extLst xmlns:a="http://schemas.openxmlformats.org/drawingml/2006/main">
                <a:ext uri="{FF2B5EF4-FFF2-40B4-BE49-F238E27FC236}">
                  <a16:creationId xmlns:a16="http://schemas.microsoft.com/office/drawing/2014/main" id="{D91BCC4F-4D0A-460B-93EA-9AE9C0D9208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>
                      <a:extLst>
                        <a:ext uri="{FF2B5EF4-FFF2-40B4-BE49-F238E27FC236}">
                          <a16:creationId xmlns:a16="http://schemas.microsoft.com/office/drawing/2014/main" id="{D91BCC4F-4D0A-460B-93EA-9AE9C0D9208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12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48F5" w:rsidRPr="006D48F5" w:rsidRDefault="006D48F5" w:rsidP="006D48F5">
      <w:pPr>
        <w:pStyle w:val="Caption"/>
        <w:jc w:val="center"/>
        <w:rPr>
          <w:sz w:val="20"/>
        </w:rPr>
      </w:pPr>
      <w:r w:rsidRPr="006D48F5">
        <w:rPr>
          <w:sz w:val="20"/>
        </w:rPr>
        <w:t xml:space="preserve">Figure </w:t>
      </w:r>
      <w:r w:rsidRPr="006D48F5">
        <w:rPr>
          <w:sz w:val="20"/>
        </w:rPr>
        <w:fldChar w:fldCharType="begin"/>
      </w:r>
      <w:r w:rsidRPr="006D48F5">
        <w:rPr>
          <w:sz w:val="20"/>
        </w:rPr>
        <w:instrText xml:space="preserve"> SEQ Figure \* ARABIC </w:instrText>
      </w:r>
      <w:r w:rsidRPr="006D48F5">
        <w:rPr>
          <w:sz w:val="20"/>
        </w:rPr>
        <w:fldChar w:fldCharType="separate"/>
      </w:r>
      <w:r w:rsidR="00A1020A">
        <w:rPr>
          <w:noProof/>
          <w:sz w:val="20"/>
        </w:rPr>
        <w:t>3</w:t>
      </w:r>
      <w:r w:rsidRPr="006D48F5">
        <w:rPr>
          <w:sz w:val="20"/>
        </w:rPr>
        <w:fldChar w:fldCharType="end"/>
      </w:r>
      <w:r w:rsidRPr="006D48F5">
        <w:rPr>
          <w:sz w:val="20"/>
        </w:rPr>
        <w:t>. A snapshot from the STK window showing the coverage grid on Earth and the lunar satellite.</w:t>
      </w:r>
    </w:p>
    <w:p w:rsidR="005D5A9C" w:rsidRDefault="000F23B1" w:rsidP="009C25CE">
      <w:pPr>
        <w:pStyle w:val="ListParagraph"/>
        <w:numPr>
          <w:ilvl w:val="0"/>
          <w:numId w:val="2"/>
        </w:numPr>
        <w:jc w:val="both"/>
      </w:pPr>
      <w:r>
        <w:t>You need t</w:t>
      </w:r>
      <w:r w:rsidR="005D5A9C">
        <w:t>he following values across the coverage grid to perform Earthshine computations:</w:t>
      </w:r>
    </w:p>
    <w:p w:rsidR="005D5A9C" w:rsidRDefault="005D5A9C" w:rsidP="009C25CE">
      <w:pPr>
        <w:pStyle w:val="ListParagraph"/>
        <w:numPr>
          <w:ilvl w:val="1"/>
          <w:numId w:val="2"/>
        </w:numPr>
        <w:jc w:val="both"/>
      </w:pPr>
      <w:r>
        <w:t>Angle between grid cell normal and sunlight vector</w:t>
      </w:r>
      <w:r w:rsidR="000F23B1">
        <w:t>, also called</w:t>
      </w:r>
      <w:r>
        <w:t xml:space="preserve"> the Solar Zenith Angle </w:t>
      </w:r>
      <w:r w:rsidR="000F23B1">
        <w:t>(</w:t>
      </w:r>
      <w:r>
        <w:t>SZA)</w:t>
      </w:r>
    </w:p>
    <w:p w:rsidR="005D5A9C" w:rsidRDefault="005D5A9C" w:rsidP="009C25CE">
      <w:pPr>
        <w:pStyle w:val="ListParagraph"/>
        <w:numPr>
          <w:ilvl w:val="1"/>
          <w:numId w:val="2"/>
        </w:numPr>
        <w:jc w:val="both"/>
      </w:pPr>
      <w:r>
        <w:t xml:space="preserve">Angle between </w:t>
      </w:r>
      <w:r w:rsidR="00EA7AE4">
        <w:t xml:space="preserve">the </w:t>
      </w:r>
      <w:r>
        <w:t>line of sight from grid cell center to the satellite vector and zenith</w:t>
      </w:r>
      <w:r w:rsidR="000F23B1">
        <w:t>; also known as</w:t>
      </w:r>
      <w:r>
        <w:t xml:space="preserve"> the Reflection angle</w:t>
      </w:r>
    </w:p>
    <w:p w:rsidR="005D5A9C" w:rsidRDefault="005D5A9C" w:rsidP="009C25CE">
      <w:pPr>
        <w:pStyle w:val="ListParagraph"/>
        <w:numPr>
          <w:ilvl w:val="1"/>
          <w:numId w:val="2"/>
        </w:numPr>
        <w:jc w:val="both"/>
      </w:pPr>
      <w:r>
        <w:t>Distance</w:t>
      </w:r>
      <w:r w:rsidR="000F23B1">
        <w:t>, or range,</w:t>
      </w:r>
      <w:r>
        <w:t xml:space="preserve"> between the grid cell center and satellite  </w:t>
      </w:r>
    </w:p>
    <w:p w:rsidR="005D5A9C" w:rsidRDefault="005D5A9C" w:rsidP="009C25CE">
      <w:pPr>
        <w:pStyle w:val="ListParagraph"/>
        <w:numPr>
          <w:ilvl w:val="1"/>
          <w:numId w:val="2"/>
        </w:numPr>
        <w:jc w:val="both"/>
      </w:pPr>
      <w:r>
        <w:t xml:space="preserve">Area of each grid cell </w:t>
      </w:r>
    </w:p>
    <w:p w:rsidR="005D5A9C" w:rsidRDefault="000F23B1" w:rsidP="009C25CE">
      <w:pPr>
        <w:pStyle w:val="ListParagraph"/>
        <w:jc w:val="both"/>
      </w:pPr>
      <w:r>
        <w:t>You can use grid properties to easily determine</w:t>
      </w:r>
      <w:r w:rsidR="005D5A9C">
        <w:t xml:space="preserve"> </w:t>
      </w:r>
      <w:r>
        <w:t>the a</w:t>
      </w:r>
      <w:r w:rsidR="005D5A9C">
        <w:t>rea of each grid cell</w:t>
      </w:r>
      <w:r>
        <w:t>.</w:t>
      </w:r>
      <w:r w:rsidR="005D5A9C">
        <w:t xml:space="preserve"> </w:t>
      </w:r>
      <w:r>
        <w:t>T</w:t>
      </w:r>
      <w:r w:rsidR="005D5A9C">
        <w:t xml:space="preserve">he other </w:t>
      </w:r>
      <w:r>
        <w:t>three</w:t>
      </w:r>
      <w:r w:rsidR="005D5A9C">
        <w:t xml:space="preserve"> parameters require</w:t>
      </w:r>
      <w:r w:rsidR="00C21669">
        <w:t xml:space="preserve"> that you set up</w:t>
      </w:r>
      <w:r w:rsidR="005D5A9C">
        <w:t xml:space="preserve"> a custom calculation. </w:t>
      </w:r>
      <w:r w:rsidR="00C21669">
        <w:t>You can do this</w:t>
      </w:r>
      <w:r w:rsidR="00D368E1">
        <w:t xml:space="preserve"> by creating custom vector geometry and using </w:t>
      </w:r>
      <w:r w:rsidR="00C21669">
        <w:t>it</w:t>
      </w:r>
      <w:r w:rsidR="00D368E1">
        <w:t xml:space="preserve"> to define scalar calculation</w:t>
      </w:r>
      <w:r w:rsidR="00C21669">
        <w:t>s</w:t>
      </w:r>
      <w:r w:rsidR="00D368E1">
        <w:t xml:space="preserve"> in Analysis Workbench (AWB). </w:t>
      </w:r>
      <w:r w:rsidR="00EF6596">
        <w:t>Next y</w:t>
      </w:r>
      <w:r w:rsidR="00C21669">
        <w:t>ou define</w:t>
      </w:r>
      <w:r w:rsidR="00D368E1">
        <w:t xml:space="preserve"> different Figures of Merit (FOMs)</w:t>
      </w:r>
      <w:r w:rsidR="00C21669">
        <w:t xml:space="preserve"> for all three</w:t>
      </w:r>
      <w:r w:rsidR="00D368E1">
        <w:t xml:space="preserve"> on the coverage grid and </w:t>
      </w:r>
      <w:r w:rsidR="006D48F5">
        <w:t>set</w:t>
      </w:r>
      <w:r w:rsidR="00C21669">
        <w:t xml:space="preserve"> their</w:t>
      </w:r>
      <w:r w:rsidR="006D48F5">
        <w:t xml:space="preserve"> type</w:t>
      </w:r>
      <w:r w:rsidR="00C21669">
        <w:t>s to</w:t>
      </w:r>
      <w:r w:rsidR="00D368E1">
        <w:t xml:space="preserve"> </w:t>
      </w:r>
      <w:r w:rsidR="006D48F5">
        <w:t>S</w:t>
      </w:r>
      <w:r w:rsidR="00D368E1">
        <w:t>calar calculation</w:t>
      </w:r>
      <w:r w:rsidR="006D48F5">
        <w:t xml:space="preserve">. </w:t>
      </w:r>
      <w:r w:rsidR="00C21669">
        <w:t>Then you attach t</w:t>
      </w:r>
      <w:r w:rsidR="006D48F5">
        <w:t>he calculations created in AWB</w:t>
      </w:r>
      <w:r w:rsidR="00D368E1">
        <w:t xml:space="preserve"> to the FOMs for computation across the grid.  </w:t>
      </w:r>
    </w:p>
    <w:p w:rsidR="006D48F5" w:rsidRDefault="00102CDB" w:rsidP="009C25CE">
      <w:pPr>
        <w:pStyle w:val="ListParagraph"/>
        <w:numPr>
          <w:ilvl w:val="0"/>
          <w:numId w:val="2"/>
        </w:numPr>
        <w:jc w:val="both"/>
      </w:pPr>
      <w:r>
        <w:t>Run a</w:t>
      </w:r>
      <w:r w:rsidR="006D48F5">
        <w:t xml:space="preserve"> MATLAB script to attach to the scenario, extract the required parameters</w:t>
      </w:r>
      <w:r>
        <w:t>,</w:t>
      </w:r>
      <w:r w:rsidR="006D48F5">
        <w:t xml:space="preserve"> and perform Earthshine computations.</w:t>
      </w:r>
    </w:p>
    <w:p w:rsidR="00EB1E6B" w:rsidRDefault="00EB1E6B" w:rsidP="009C25CE">
      <w:pPr>
        <w:pStyle w:val="ListParagraph"/>
        <w:jc w:val="both"/>
      </w:pPr>
    </w:p>
    <w:p w:rsidR="00483AB6" w:rsidRPr="00EB1E6B" w:rsidRDefault="00483AB6" w:rsidP="009C25CE">
      <w:pPr>
        <w:jc w:val="both"/>
        <w:rPr>
          <w:b/>
          <w:sz w:val="28"/>
        </w:rPr>
      </w:pPr>
      <w:r w:rsidRPr="00EB1E6B">
        <w:rPr>
          <w:b/>
          <w:sz w:val="28"/>
        </w:rPr>
        <w:t>Results</w:t>
      </w:r>
      <w:r w:rsidR="00AC6398" w:rsidRPr="00EB1E6B">
        <w:rPr>
          <w:b/>
          <w:sz w:val="28"/>
        </w:rPr>
        <w:t xml:space="preserve"> &amp; Discussion</w:t>
      </w:r>
    </w:p>
    <w:p w:rsidR="00A24CD7" w:rsidRPr="00A24CD7" w:rsidRDefault="00A24CD7" w:rsidP="009C25CE">
      <w:pPr>
        <w:jc w:val="both"/>
        <w:rPr>
          <w:b/>
          <w:i/>
        </w:rPr>
      </w:pPr>
      <w:r w:rsidRPr="00A24CD7">
        <w:rPr>
          <w:b/>
          <w:i/>
        </w:rPr>
        <w:t xml:space="preserve">Effect of </w:t>
      </w:r>
      <w:r>
        <w:rPr>
          <w:b/>
          <w:i/>
        </w:rPr>
        <w:t xml:space="preserve">varying </w:t>
      </w:r>
      <w:r w:rsidRPr="00A24CD7">
        <w:rPr>
          <w:b/>
          <w:i/>
        </w:rPr>
        <w:t>Earth grid resolution</w:t>
      </w:r>
    </w:p>
    <w:p w:rsidR="00483AB6" w:rsidRDefault="00483AB6" w:rsidP="009C25CE">
      <w:pPr>
        <w:jc w:val="both"/>
      </w:pPr>
      <w:r>
        <w:t>The scenario duration is set to 1 day, and the calculated Earthshine is plotted against time</w:t>
      </w:r>
      <w:r w:rsidR="00102CDB">
        <w:t xml:space="preserve"> as shown</w:t>
      </w:r>
      <w:r w:rsidR="00A24CD7">
        <w:t xml:space="preserve"> in figure 4</w:t>
      </w:r>
      <w:r>
        <w:t>.</w:t>
      </w:r>
      <w:r w:rsidR="007A0EA2">
        <w:t xml:space="preserve"> </w:t>
      </w:r>
      <w:r w:rsidR="00102CDB">
        <w:t xml:space="preserve">You can specify the </w:t>
      </w:r>
      <w:r w:rsidR="007A0EA2">
        <w:t xml:space="preserve">Earthshine calculation timestep within </w:t>
      </w:r>
      <w:r w:rsidR="00EA7AE4">
        <w:t>a</w:t>
      </w:r>
      <w:r w:rsidR="007A0EA2">
        <w:t xml:space="preserve"> MATLAB script</w:t>
      </w:r>
      <w:r w:rsidR="00102CDB">
        <w:t>;</w:t>
      </w:r>
      <w:r w:rsidR="007A0EA2">
        <w:t xml:space="preserve"> </w:t>
      </w:r>
      <w:r w:rsidR="00102CDB">
        <w:t>it</w:t>
      </w:r>
      <w:r w:rsidR="007A0EA2">
        <w:t xml:space="preserve"> is set to 10 minutes in this example. Two cases were run with coverage grid resolution</w:t>
      </w:r>
      <w:r w:rsidR="00102CDB">
        <w:t>s of</w:t>
      </w:r>
      <w:r w:rsidR="007A0EA2">
        <w:t xml:space="preserve"> 10</w:t>
      </w:r>
      <w:r w:rsidR="004F11F4">
        <w:t xml:space="preserve"> </w:t>
      </w:r>
      <w:r w:rsidR="007A0EA2">
        <w:t>deg</w:t>
      </w:r>
      <w:r w:rsidR="004F11F4">
        <w:t>rees</w:t>
      </w:r>
      <w:r w:rsidR="007A0EA2">
        <w:t xml:space="preserve"> and 5</w:t>
      </w:r>
      <w:r w:rsidR="004F11F4">
        <w:t xml:space="preserve"> </w:t>
      </w:r>
      <w:r w:rsidR="007A0EA2">
        <w:t>deg</w:t>
      </w:r>
      <w:r w:rsidR="004F11F4">
        <w:t>rees</w:t>
      </w:r>
      <w:r w:rsidR="007A0EA2">
        <w:t xml:space="preserve"> </w:t>
      </w:r>
      <w:r w:rsidR="007A0EA2">
        <w:lastRenderedPageBreak/>
        <w:t>respectively, to observe the effect of a finer grid resolution. We observe that the finer grid</w:t>
      </w:r>
      <w:r w:rsidR="00A24CD7">
        <w:t xml:space="preserve"> (figure 5)</w:t>
      </w:r>
      <w:r w:rsidR="007A0EA2">
        <w:t xml:space="preserve"> results in </w:t>
      </w:r>
      <w:r w:rsidR="004F11F4">
        <w:t xml:space="preserve">a </w:t>
      </w:r>
      <w:r w:rsidR="007A0EA2">
        <w:t xml:space="preserve">more accurate, smoother trend. </w:t>
      </w:r>
      <w:r w:rsidR="00E61B8D">
        <w:t>Specifying even s</w:t>
      </w:r>
      <w:r w:rsidR="007A0EA2">
        <w:t>maller grid resolutions for higher accuracy require a lot of time for computation but offer only a little change in Earthshine values.</w:t>
      </w:r>
    </w:p>
    <w:p w:rsidR="00F15B7A" w:rsidRDefault="00F15B7A" w:rsidP="009C25CE">
      <w:pPr>
        <w:jc w:val="both"/>
      </w:pPr>
      <w:r>
        <w:t xml:space="preserve">Times when Earthshine drops to zero refer to instances when there is no line of sight between the spacecraft and Earth, </w:t>
      </w:r>
      <w:r w:rsidR="00EA7AE4">
        <w:t>a result of</w:t>
      </w:r>
      <w:r>
        <w:t xml:space="preserve"> blocking by </w:t>
      </w:r>
      <w:r w:rsidR="004F11F4">
        <w:t xml:space="preserve">the </w:t>
      </w:r>
      <w:r>
        <w:t>lunar</w:t>
      </w:r>
      <w:r w:rsidR="00CA01F2">
        <w:t xml:space="preserve"> horizon. The long period trend observed in non-zero Earthshine values is because of the variation of sunlight and target phase angles. </w:t>
      </w:r>
    </w:p>
    <w:p w:rsidR="00483AB6" w:rsidRDefault="00483AB6" w:rsidP="00483AB6">
      <w:pPr>
        <w:keepNext/>
        <w:jc w:val="center"/>
      </w:pPr>
      <w:r w:rsidRPr="00483AB6">
        <w:rPr>
          <w:noProof/>
        </w:rPr>
        <w:drawing>
          <wp:inline distT="0" distB="0" distL="0" distR="0" wp14:anchorId="7731FDB9" wp14:editId="613949F7">
            <wp:extent cx="5077691" cy="3302127"/>
            <wp:effectExtent l="0" t="0" r="8890" b="0"/>
            <wp:docPr id="3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DE9F9FB7-76AB-448F-9C1B-176F2FFD986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>
                      <a:extLst>
                        <a:ext uri="{FF2B5EF4-FFF2-40B4-BE49-F238E27FC236}">
                          <a16:creationId xmlns:a16="http://schemas.microsoft.com/office/drawing/2014/main" id="{DE9F9FB7-76AB-448F-9C1B-176F2FFD986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92435" cy="3311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3AB6" w:rsidRPr="00483AB6" w:rsidRDefault="00483AB6" w:rsidP="00483AB6">
      <w:pPr>
        <w:pStyle w:val="Caption"/>
        <w:jc w:val="center"/>
        <w:rPr>
          <w:sz w:val="20"/>
          <w:szCs w:val="20"/>
        </w:rPr>
      </w:pPr>
      <w:r w:rsidRPr="00483AB6">
        <w:rPr>
          <w:sz w:val="20"/>
          <w:szCs w:val="20"/>
        </w:rPr>
        <w:t xml:space="preserve">Figure </w:t>
      </w:r>
      <w:r w:rsidRPr="00483AB6">
        <w:rPr>
          <w:sz w:val="20"/>
          <w:szCs w:val="20"/>
        </w:rPr>
        <w:fldChar w:fldCharType="begin"/>
      </w:r>
      <w:r w:rsidRPr="00483AB6">
        <w:rPr>
          <w:sz w:val="20"/>
          <w:szCs w:val="20"/>
        </w:rPr>
        <w:instrText xml:space="preserve"> SEQ Figure \* ARABIC </w:instrText>
      </w:r>
      <w:r w:rsidRPr="00483AB6">
        <w:rPr>
          <w:sz w:val="20"/>
          <w:szCs w:val="20"/>
        </w:rPr>
        <w:fldChar w:fldCharType="separate"/>
      </w:r>
      <w:r w:rsidR="00A1020A">
        <w:rPr>
          <w:noProof/>
          <w:sz w:val="20"/>
          <w:szCs w:val="20"/>
        </w:rPr>
        <w:t>4</w:t>
      </w:r>
      <w:r w:rsidRPr="00483AB6">
        <w:rPr>
          <w:sz w:val="20"/>
          <w:szCs w:val="20"/>
        </w:rPr>
        <w:fldChar w:fldCharType="end"/>
      </w:r>
      <w:r w:rsidRPr="00483AB6">
        <w:rPr>
          <w:sz w:val="20"/>
          <w:szCs w:val="20"/>
        </w:rPr>
        <w:t>. Result</w:t>
      </w:r>
      <w:r w:rsidR="004F11F4">
        <w:rPr>
          <w:sz w:val="20"/>
          <w:szCs w:val="20"/>
        </w:rPr>
        <w:t>s</w:t>
      </w:r>
      <w:r w:rsidRPr="00483AB6">
        <w:rPr>
          <w:sz w:val="20"/>
          <w:szCs w:val="20"/>
        </w:rPr>
        <w:t xml:space="preserve"> for 10-deg resolution grid, 10</w:t>
      </w:r>
      <w:r w:rsidR="00027FE0">
        <w:rPr>
          <w:sz w:val="20"/>
          <w:szCs w:val="20"/>
        </w:rPr>
        <w:t>-</w:t>
      </w:r>
      <w:r w:rsidRPr="00483AB6">
        <w:rPr>
          <w:sz w:val="20"/>
          <w:szCs w:val="20"/>
        </w:rPr>
        <w:t>minute calculation timestep</w:t>
      </w:r>
    </w:p>
    <w:p w:rsidR="00027FE0" w:rsidRDefault="00027FE0" w:rsidP="00027FE0">
      <w:pPr>
        <w:keepNext/>
        <w:jc w:val="center"/>
      </w:pPr>
      <w:r w:rsidRPr="00027FE0">
        <w:rPr>
          <w:noProof/>
        </w:rPr>
        <w:lastRenderedPageBreak/>
        <w:drawing>
          <wp:inline distT="0" distB="0" distL="0" distR="0" wp14:anchorId="3FB386FB" wp14:editId="654E32E2">
            <wp:extent cx="4777996" cy="3540529"/>
            <wp:effectExtent l="0" t="0" r="3810" b="3175"/>
            <wp:docPr id="4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2A78B423-CDF0-4CDA-9412-D1C51C6A45D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>
                      <a:extLst>
                        <a:ext uri="{FF2B5EF4-FFF2-40B4-BE49-F238E27FC236}">
                          <a16:creationId xmlns:a16="http://schemas.microsoft.com/office/drawing/2014/main" id="{2A78B423-CDF0-4CDA-9412-D1C51C6A45D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793783" cy="35522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3AB6" w:rsidRDefault="00027FE0" w:rsidP="00027FE0">
      <w:pPr>
        <w:pStyle w:val="Caption"/>
        <w:jc w:val="center"/>
        <w:rPr>
          <w:sz w:val="20"/>
        </w:rPr>
      </w:pPr>
      <w:r w:rsidRPr="00027FE0">
        <w:rPr>
          <w:sz w:val="20"/>
        </w:rPr>
        <w:t xml:space="preserve">Figure </w:t>
      </w:r>
      <w:r w:rsidRPr="00027FE0">
        <w:rPr>
          <w:sz w:val="20"/>
        </w:rPr>
        <w:fldChar w:fldCharType="begin"/>
      </w:r>
      <w:r w:rsidRPr="00027FE0">
        <w:rPr>
          <w:sz w:val="20"/>
        </w:rPr>
        <w:instrText xml:space="preserve"> SEQ Figure \* ARABIC </w:instrText>
      </w:r>
      <w:r w:rsidRPr="00027FE0">
        <w:rPr>
          <w:sz w:val="20"/>
        </w:rPr>
        <w:fldChar w:fldCharType="separate"/>
      </w:r>
      <w:r w:rsidR="00A1020A">
        <w:rPr>
          <w:noProof/>
          <w:sz w:val="20"/>
        </w:rPr>
        <w:t>5</w:t>
      </w:r>
      <w:r w:rsidRPr="00027FE0">
        <w:rPr>
          <w:sz w:val="20"/>
        </w:rPr>
        <w:fldChar w:fldCharType="end"/>
      </w:r>
      <w:r w:rsidRPr="00027FE0">
        <w:rPr>
          <w:sz w:val="20"/>
        </w:rPr>
        <w:t>. Result</w:t>
      </w:r>
      <w:r w:rsidR="004F11F4">
        <w:rPr>
          <w:sz w:val="20"/>
        </w:rPr>
        <w:t>s</w:t>
      </w:r>
      <w:r w:rsidRPr="00027FE0">
        <w:rPr>
          <w:sz w:val="20"/>
        </w:rPr>
        <w:t xml:space="preserve"> for 5-deg resolution grid, 10-minute calculation timestep</w:t>
      </w:r>
    </w:p>
    <w:p w:rsidR="00CA01F2" w:rsidRDefault="00CA01F2" w:rsidP="00CA01F2"/>
    <w:p w:rsidR="00A24CD7" w:rsidRDefault="00A24CD7" w:rsidP="00CA01F2"/>
    <w:p w:rsidR="00A24CD7" w:rsidRDefault="00A24CD7" w:rsidP="00CA01F2">
      <w:pPr>
        <w:rPr>
          <w:b/>
          <w:i/>
        </w:rPr>
      </w:pPr>
      <w:r w:rsidRPr="00A24CD7">
        <w:rPr>
          <w:b/>
          <w:i/>
        </w:rPr>
        <w:t>Effect of varying orbital parameters</w:t>
      </w:r>
    </w:p>
    <w:p w:rsidR="00A24CD7" w:rsidRDefault="00A24CD7" w:rsidP="004351F2">
      <w:pPr>
        <w:jc w:val="both"/>
      </w:pPr>
      <w:r>
        <w:t>This Earthshine problem is highly geometry dependent. To emphasize this further, we explore</w:t>
      </w:r>
      <w:r w:rsidR="004F11F4">
        <w:t>d</w:t>
      </w:r>
      <w:r>
        <w:t xml:space="preserve"> another case with a higher lunar orbit of 300 km</w:t>
      </w:r>
      <w:r w:rsidR="004F11F4">
        <w:t>.</w:t>
      </w:r>
      <w:r>
        <w:t xml:space="preserve"> </w:t>
      </w:r>
      <w:r w:rsidR="004F11F4">
        <w:t>P</w:t>
      </w:r>
      <w:r>
        <w:t xml:space="preserve">revious results in figures 4 </w:t>
      </w:r>
      <w:r w:rsidR="00EA7AE4">
        <w:t>and</w:t>
      </w:r>
      <w:r>
        <w:t xml:space="preserve"> 5 employ a 100 km circular lunar orbit. Figure 6 shows computed Earthshine at a coarse 10-deg grid resolution obtained by changing</w:t>
      </w:r>
      <w:r w:rsidR="004F11F4">
        <w:t xml:space="preserve"> the</w:t>
      </w:r>
      <w:r>
        <w:t xml:space="preserve"> orbit altitude to 300 km. </w:t>
      </w:r>
      <w:r w:rsidR="004F11F4">
        <w:t>You can see</w:t>
      </w:r>
      <w:r>
        <w:t xml:space="preserve"> that the spacecraft has prolonged visibility to Earth, owing to a higher orbit altitude. </w:t>
      </w:r>
      <w:r w:rsidR="004351F2">
        <w:t>Likewise, v</w:t>
      </w:r>
      <w:r>
        <w:t>ariation of other orbital parameters is also expected to result in different computed Earthshine values.</w:t>
      </w:r>
    </w:p>
    <w:p w:rsidR="00A24CD7" w:rsidRPr="00A24CD7" w:rsidRDefault="00A24CD7" w:rsidP="00CA01F2">
      <w:pPr>
        <w:rPr>
          <w:b/>
          <w:i/>
        </w:rPr>
      </w:pPr>
    </w:p>
    <w:p w:rsidR="00CA01F2" w:rsidRDefault="00CA01F2" w:rsidP="00CA01F2">
      <w:pPr>
        <w:keepNext/>
        <w:jc w:val="center"/>
      </w:pPr>
      <w:r>
        <w:rPr>
          <w:noProof/>
        </w:rPr>
        <w:lastRenderedPageBreak/>
        <w:drawing>
          <wp:inline distT="0" distB="0" distL="0" distR="0" wp14:anchorId="6BD36456" wp14:editId="7ECD8D13">
            <wp:extent cx="4446187" cy="3286664"/>
            <wp:effectExtent l="0" t="0" r="0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480966" cy="33123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A01F2" w:rsidRDefault="00CA01F2" w:rsidP="00CA01F2">
      <w:pPr>
        <w:pStyle w:val="Caption"/>
        <w:jc w:val="center"/>
        <w:rPr>
          <w:sz w:val="20"/>
        </w:rPr>
      </w:pPr>
      <w:r w:rsidRPr="00CA01F2">
        <w:rPr>
          <w:sz w:val="20"/>
        </w:rPr>
        <w:t xml:space="preserve">Figure </w:t>
      </w:r>
      <w:r w:rsidRPr="00CA01F2">
        <w:rPr>
          <w:sz w:val="20"/>
        </w:rPr>
        <w:fldChar w:fldCharType="begin"/>
      </w:r>
      <w:r w:rsidRPr="00CA01F2">
        <w:rPr>
          <w:sz w:val="20"/>
        </w:rPr>
        <w:instrText xml:space="preserve"> SEQ Figure \* ARABIC </w:instrText>
      </w:r>
      <w:r w:rsidRPr="00CA01F2">
        <w:rPr>
          <w:sz w:val="20"/>
        </w:rPr>
        <w:fldChar w:fldCharType="separate"/>
      </w:r>
      <w:r w:rsidR="00A1020A">
        <w:rPr>
          <w:noProof/>
          <w:sz w:val="20"/>
        </w:rPr>
        <w:t>6</w:t>
      </w:r>
      <w:r w:rsidRPr="00CA01F2">
        <w:rPr>
          <w:sz w:val="20"/>
        </w:rPr>
        <w:fldChar w:fldCharType="end"/>
      </w:r>
      <w:r w:rsidRPr="00CA01F2">
        <w:rPr>
          <w:sz w:val="20"/>
        </w:rPr>
        <w:t>. Computed Earthshine for a 300 km circular lunar orbit</w:t>
      </w:r>
      <w:r w:rsidR="00D9465E">
        <w:rPr>
          <w:sz w:val="20"/>
        </w:rPr>
        <w:t>, showing an example of varying orbital parameters on computed Earthshine</w:t>
      </w:r>
      <w:r w:rsidR="004F11F4">
        <w:rPr>
          <w:sz w:val="20"/>
        </w:rPr>
        <w:t xml:space="preserve"> with</w:t>
      </w:r>
      <w:r w:rsidRPr="00CA01F2">
        <w:rPr>
          <w:sz w:val="20"/>
        </w:rPr>
        <w:t xml:space="preserve"> Grid resolution</w:t>
      </w:r>
      <w:r w:rsidR="004F11F4">
        <w:rPr>
          <w:sz w:val="20"/>
        </w:rPr>
        <w:t xml:space="preserve"> of</w:t>
      </w:r>
      <w:r w:rsidRPr="00CA01F2">
        <w:rPr>
          <w:sz w:val="20"/>
        </w:rPr>
        <w:t xml:space="preserve"> 10 deg</w:t>
      </w:r>
      <w:r w:rsidR="00D509DA">
        <w:rPr>
          <w:sz w:val="20"/>
        </w:rPr>
        <w:t xml:space="preserve"> and</w:t>
      </w:r>
      <w:r w:rsidRPr="00CA01F2">
        <w:rPr>
          <w:sz w:val="20"/>
        </w:rPr>
        <w:t xml:space="preserve"> timestep</w:t>
      </w:r>
      <w:r w:rsidR="00D509DA">
        <w:rPr>
          <w:sz w:val="20"/>
        </w:rPr>
        <w:t xml:space="preserve"> of</w:t>
      </w:r>
      <w:r w:rsidRPr="00CA01F2">
        <w:rPr>
          <w:sz w:val="20"/>
        </w:rPr>
        <w:t xml:space="preserve"> 10 mins</w:t>
      </w:r>
    </w:p>
    <w:p w:rsidR="00334B2D" w:rsidRDefault="00334B2D" w:rsidP="00334B2D"/>
    <w:p w:rsidR="0022690D" w:rsidRDefault="004351F2" w:rsidP="00334B2D">
      <w:pPr>
        <w:rPr>
          <w:b/>
          <w:i/>
        </w:rPr>
      </w:pPr>
      <w:r w:rsidRPr="004351F2">
        <w:rPr>
          <w:b/>
          <w:i/>
        </w:rPr>
        <w:t>Effect of varying analysis time (lunar phase)</w:t>
      </w:r>
    </w:p>
    <w:p w:rsidR="004351F2" w:rsidRPr="004351F2" w:rsidRDefault="004351F2" w:rsidP="005C4C0A">
      <w:pPr>
        <w:jc w:val="both"/>
      </w:pPr>
      <w:r>
        <w:t>Recognizing that different analysis times</w:t>
      </w:r>
      <w:r w:rsidR="003C37BC">
        <w:t xml:space="preserve"> —</w:t>
      </w:r>
      <w:r>
        <w:t xml:space="preserve"> differing lunar phases</w:t>
      </w:r>
      <w:r w:rsidR="003C37BC">
        <w:t xml:space="preserve"> —</w:t>
      </w:r>
      <w:r>
        <w:t xml:space="preserve"> will also affect the problem geometry, we </w:t>
      </w:r>
      <w:r w:rsidR="005C4C0A">
        <w:t xml:space="preserve">show an example calculation for </w:t>
      </w:r>
      <w:r w:rsidR="003C37BC">
        <w:t>four</w:t>
      </w:r>
      <w:r w:rsidR="005C4C0A">
        <w:t xml:space="preserve"> quarters of a lunar cycle. Figure 7 shows computed Earthshine for New Moon (13-14 Mar), First quarter (21-22 Mar), Full Moon (28-29 Mar) and Third quarter (4-5 Apr). The calculations correspond to a 100 km circular lunar orbit. </w:t>
      </w:r>
      <w:r w:rsidR="003C37BC">
        <w:t>There are d</w:t>
      </w:r>
      <w:r w:rsidR="005C4C0A">
        <w:t xml:space="preserve">rastic differences in Earthshine values.  </w:t>
      </w:r>
    </w:p>
    <w:p w:rsidR="00A1020A" w:rsidRDefault="00A1020A" w:rsidP="00A1020A">
      <w:pPr>
        <w:keepNext/>
      </w:pPr>
      <w:r>
        <w:rPr>
          <w:noProof/>
        </w:rPr>
        <w:lastRenderedPageBreak/>
        <w:drawing>
          <wp:inline distT="0" distB="0" distL="0" distR="0" wp14:anchorId="1578DCE5" wp14:editId="1EDE86F1">
            <wp:extent cx="5943600" cy="3365500"/>
            <wp:effectExtent l="0" t="0" r="0" b="635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65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84AE7" w:rsidRPr="00A1020A" w:rsidRDefault="00A1020A" w:rsidP="00A1020A">
      <w:pPr>
        <w:pStyle w:val="Caption"/>
        <w:jc w:val="center"/>
        <w:rPr>
          <w:sz w:val="20"/>
        </w:rPr>
      </w:pPr>
      <w:r w:rsidRPr="00A1020A">
        <w:rPr>
          <w:sz w:val="20"/>
        </w:rPr>
        <w:t xml:space="preserve">Figure </w:t>
      </w:r>
      <w:r w:rsidRPr="00A1020A">
        <w:rPr>
          <w:sz w:val="20"/>
        </w:rPr>
        <w:fldChar w:fldCharType="begin"/>
      </w:r>
      <w:r w:rsidRPr="00A1020A">
        <w:rPr>
          <w:sz w:val="20"/>
        </w:rPr>
        <w:instrText xml:space="preserve"> SEQ Figure \* ARABIC </w:instrText>
      </w:r>
      <w:r w:rsidRPr="00A1020A">
        <w:rPr>
          <w:sz w:val="20"/>
        </w:rPr>
        <w:fldChar w:fldCharType="separate"/>
      </w:r>
      <w:r w:rsidRPr="00A1020A">
        <w:rPr>
          <w:noProof/>
          <w:sz w:val="20"/>
        </w:rPr>
        <w:t>7</w:t>
      </w:r>
      <w:r w:rsidRPr="00A1020A">
        <w:rPr>
          <w:sz w:val="20"/>
        </w:rPr>
        <w:fldChar w:fldCharType="end"/>
      </w:r>
      <w:r w:rsidRPr="00A1020A">
        <w:rPr>
          <w:sz w:val="20"/>
        </w:rPr>
        <w:t xml:space="preserve">. Earthshine computed for </w:t>
      </w:r>
      <w:r w:rsidR="00CE2938">
        <w:rPr>
          <w:sz w:val="20"/>
        </w:rPr>
        <w:t>four</w:t>
      </w:r>
      <w:r w:rsidRPr="00A1020A">
        <w:rPr>
          <w:sz w:val="20"/>
        </w:rPr>
        <w:t xml:space="preserve"> different quarters of the lunar cycle to show dependence of phase on computed Earthshine</w:t>
      </w:r>
      <w:r w:rsidR="00D509DA">
        <w:rPr>
          <w:sz w:val="20"/>
        </w:rPr>
        <w:t xml:space="preserve"> with a</w:t>
      </w:r>
      <w:r w:rsidRPr="00A1020A">
        <w:rPr>
          <w:sz w:val="20"/>
        </w:rPr>
        <w:t xml:space="preserve"> Lunar orbit</w:t>
      </w:r>
      <w:r w:rsidR="00D509DA">
        <w:rPr>
          <w:sz w:val="20"/>
        </w:rPr>
        <w:t xml:space="preserve"> of</w:t>
      </w:r>
      <w:r w:rsidRPr="00A1020A">
        <w:rPr>
          <w:sz w:val="20"/>
        </w:rPr>
        <w:t xml:space="preserve"> 100 km circula</w:t>
      </w:r>
      <w:r w:rsidR="00D509DA">
        <w:rPr>
          <w:sz w:val="20"/>
        </w:rPr>
        <w:t>r</w:t>
      </w:r>
      <w:r w:rsidRPr="00A1020A">
        <w:rPr>
          <w:sz w:val="20"/>
        </w:rPr>
        <w:t xml:space="preserve">, </w:t>
      </w:r>
      <w:r w:rsidR="00D509DA">
        <w:rPr>
          <w:sz w:val="20"/>
        </w:rPr>
        <w:t xml:space="preserve">a </w:t>
      </w:r>
      <w:r w:rsidRPr="00A1020A">
        <w:rPr>
          <w:sz w:val="20"/>
        </w:rPr>
        <w:t>Grid resolution</w:t>
      </w:r>
      <w:r w:rsidR="00D509DA">
        <w:rPr>
          <w:sz w:val="20"/>
        </w:rPr>
        <w:t xml:space="preserve"> of</w:t>
      </w:r>
      <w:r w:rsidRPr="00A1020A">
        <w:rPr>
          <w:sz w:val="20"/>
        </w:rPr>
        <w:t xml:space="preserve"> 10 deg,</w:t>
      </w:r>
      <w:r w:rsidR="00D509DA">
        <w:rPr>
          <w:sz w:val="20"/>
        </w:rPr>
        <w:t xml:space="preserve"> and a</w:t>
      </w:r>
      <w:r w:rsidRPr="00A1020A">
        <w:rPr>
          <w:sz w:val="20"/>
        </w:rPr>
        <w:t xml:space="preserve"> timestep</w:t>
      </w:r>
      <w:r w:rsidR="00D509DA">
        <w:rPr>
          <w:sz w:val="20"/>
        </w:rPr>
        <w:t xml:space="preserve"> of</w:t>
      </w:r>
      <w:r w:rsidRPr="00A1020A">
        <w:rPr>
          <w:sz w:val="20"/>
        </w:rPr>
        <w:t xml:space="preserve"> 10 mins</w:t>
      </w:r>
    </w:p>
    <w:p w:rsidR="002F510A" w:rsidRDefault="00B40E1F" w:rsidP="00B40E1F">
      <w:pPr>
        <w:pStyle w:val="Caption"/>
        <w:jc w:val="center"/>
      </w:pPr>
      <w:r w:rsidRPr="00A73F17">
        <w:t>.</w:t>
      </w:r>
    </w:p>
    <w:p w:rsidR="001F6648" w:rsidRPr="001F6648" w:rsidRDefault="001F6648" w:rsidP="004351F2">
      <w:pPr>
        <w:jc w:val="both"/>
        <w:rPr>
          <w:b/>
          <w:i/>
        </w:rPr>
      </w:pPr>
      <w:r w:rsidRPr="001F6648">
        <w:rPr>
          <w:b/>
          <w:i/>
        </w:rPr>
        <w:t>Comparison with literature</w:t>
      </w:r>
    </w:p>
    <w:p w:rsidR="004351F2" w:rsidRDefault="004351F2" w:rsidP="004351F2">
      <w:pPr>
        <w:jc w:val="both"/>
      </w:pPr>
      <w:r>
        <w:t xml:space="preserve">As a sanity check, we refer to a paper by </w:t>
      </w:r>
      <w:hyperlink r:id="rId12" w:anchor=":~:text=Earthshine%20is%20the%20dominant%20source,that%20never%20receive%20direct%20sunlight." w:history="1">
        <w:proofErr w:type="spellStart"/>
        <w:r w:rsidRPr="00334B2D">
          <w:rPr>
            <w:rStyle w:val="Hyperlink"/>
          </w:rPr>
          <w:t>Glenar</w:t>
        </w:r>
        <w:proofErr w:type="spellEnd"/>
        <w:r w:rsidRPr="00334B2D">
          <w:rPr>
            <w:rStyle w:val="Hyperlink"/>
          </w:rPr>
          <w:t xml:space="preserve"> e</w:t>
        </w:r>
        <w:r w:rsidRPr="00334B2D">
          <w:rPr>
            <w:rStyle w:val="Hyperlink"/>
          </w:rPr>
          <w:t>t</w:t>
        </w:r>
        <w:r w:rsidRPr="00334B2D">
          <w:rPr>
            <w:rStyle w:val="Hyperlink"/>
          </w:rPr>
          <w:t xml:space="preserve"> </w:t>
        </w:r>
        <w:r w:rsidRPr="00334B2D">
          <w:rPr>
            <w:rStyle w:val="Hyperlink"/>
          </w:rPr>
          <w:t xml:space="preserve">al. </w:t>
        </w:r>
        <w:r>
          <w:rPr>
            <w:rStyle w:val="Hyperlink"/>
          </w:rPr>
          <w:t>(</w:t>
        </w:r>
        <w:r w:rsidRPr="00334B2D">
          <w:rPr>
            <w:rStyle w:val="Hyperlink"/>
          </w:rPr>
          <w:t>2018</w:t>
        </w:r>
      </w:hyperlink>
      <w:r>
        <w:t xml:space="preserve">) to compare our calculations with those in published literature. Using comprehensive 3D modeling, </w:t>
      </w:r>
      <w:proofErr w:type="spellStart"/>
      <w:r>
        <w:t>Glenar</w:t>
      </w:r>
      <w:proofErr w:type="spellEnd"/>
      <w:r>
        <w:t xml:space="preserve"> et al. (2018) found that broadband hemispherical irradiance at the Moon from Earth at full phase is about 0.15 W/m</w:t>
      </w:r>
      <w:r>
        <w:rPr>
          <w:vertAlign w:val="superscript"/>
        </w:rPr>
        <w:t>2</w:t>
      </w:r>
      <w:r>
        <w:t xml:space="preserve"> with comparable contributions from solar reflectance and thermal emission. Very crudely, contribution from solar reflectance alone </w:t>
      </w:r>
      <w:r w:rsidR="00D509DA">
        <w:t>is approximately</w:t>
      </w:r>
      <w:r>
        <w:t xml:space="preserve"> 0.07 W/m</w:t>
      </w:r>
      <w:r>
        <w:rPr>
          <w:vertAlign w:val="superscript"/>
        </w:rPr>
        <w:t>2</w:t>
      </w:r>
      <w:r>
        <w:t xml:space="preserve"> at full phase. This provides the upper limit of Earthshine intensity to expect on the lunar surface. In our example, Earthshine irradiance received by the lunar satellite </w:t>
      </w:r>
      <w:r w:rsidR="00A2267E">
        <w:t>was approximately</w:t>
      </w:r>
      <w:bookmarkStart w:id="0" w:name="_GoBack"/>
      <w:bookmarkEnd w:id="0"/>
      <w:r>
        <w:t xml:space="preserve"> 0.045 W/m</w:t>
      </w:r>
      <w:r>
        <w:rPr>
          <w:vertAlign w:val="superscript"/>
        </w:rPr>
        <w:t>2</w:t>
      </w:r>
      <w:r>
        <w:t>. These values correspond to well below hemispherical coverage, and thus are validated.</w:t>
      </w:r>
    </w:p>
    <w:p w:rsidR="00A317C6" w:rsidRDefault="00A317C6" w:rsidP="00A317C6">
      <w:pPr>
        <w:keepNext/>
        <w:jc w:val="center"/>
      </w:pPr>
    </w:p>
    <w:sectPr w:rsidR="00A317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4B77D8"/>
    <w:multiLevelType w:val="hybridMultilevel"/>
    <w:tmpl w:val="3B5E0A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C265FC"/>
    <w:multiLevelType w:val="hybridMultilevel"/>
    <w:tmpl w:val="D33E7D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70F9"/>
    <w:rsid w:val="00016EF4"/>
    <w:rsid w:val="00027FE0"/>
    <w:rsid w:val="00030988"/>
    <w:rsid w:val="000433E9"/>
    <w:rsid w:val="00084AE7"/>
    <w:rsid w:val="000A678E"/>
    <w:rsid w:val="000F23B1"/>
    <w:rsid w:val="00102CDB"/>
    <w:rsid w:val="00143B12"/>
    <w:rsid w:val="00183508"/>
    <w:rsid w:val="00187D72"/>
    <w:rsid w:val="001F6648"/>
    <w:rsid w:val="0022690D"/>
    <w:rsid w:val="002F510A"/>
    <w:rsid w:val="00334B2D"/>
    <w:rsid w:val="003C37BC"/>
    <w:rsid w:val="004351F2"/>
    <w:rsid w:val="0044129F"/>
    <w:rsid w:val="00442991"/>
    <w:rsid w:val="0046491D"/>
    <w:rsid w:val="00483AB6"/>
    <w:rsid w:val="004C3A96"/>
    <w:rsid w:val="004F11F4"/>
    <w:rsid w:val="004F1B84"/>
    <w:rsid w:val="00565408"/>
    <w:rsid w:val="00577505"/>
    <w:rsid w:val="00584CF8"/>
    <w:rsid w:val="005A274A"/>
    <w:rsid w:val="005C4C0A"/>
    <w:rsid w:val="005D2CBF"/>
    <w:rsid w:val="005D5A9C"/>
    <w:rsid w:val="00627B67"/>
    <w:rsid w:val="0064407C"/>
    <w:rsid w:val="006B2D98"/>
    <w:rsid w:val="006D48F5"/>
    <w:rsid w:val="00710349"/>
    <w:rsid w:val="00714ED4"/>
    <w:rsid w:val="00715125"/>
    <w:rsid w:val="00756E20"/>
    <w:rsid w:val="007A0EA2"/>
    <w:rsid w:val="007C581F"/>
    <w:rsid w:val="009070DD"/>
    <w:rsid w:val="009C25CE"/>
    <w:rsid w:val="00A1020A"/>
    <w:rsid w:val="00A2267E"/>
    <w:rsid w:val="00A24CD7"/>
    <w:rsid w:val="00A317C6"/>
    <w:rsid w:val="00A46535"/>
    <w:rsid w:val="00AC6398"/>
    <w:rsid w:val="00B40E1F"/>
    <w:rsid w:val="00B770F9"/>
    <w:rsid w:val="00B9083F"/>
    <w:rsid w:val="00C21669"/>
    <w:rsid w:val="00CA01F2"/>
    <w:rsid w:val="00CE2938"/>
    <w:rsid w:val="00D145E7"/>
    <w:rsid w:val="00D368E1"/>
    <w:rsid w:val="00D509DA"/>
    <w:rsid w:val="00D574FB"/>
    <w:rsid w:val="00D929D6"/>
    <w:rsid w:val="00D9465E"/>
    <w:rsid w:val="00DD297D"/>
    <w:rsid w:val="00E02587"/>
    <w:rsid w:val="00E61B8D"/>
    <w:rsid w:val="00E72729"/>
    <w:rsid w:val="00EA7AE4"/>
    <w:rsid w:val="00EB1E6B"/>
    <w:rsid w:val="00EB324C"/>
    <w:rsid w:val="00EF6596"/>
    <w:rsid w:val="00F15B7A"/>
    <w:rsid w:val="00F81824"/>
    <w:rsid w:val="00FD1CD8"/>
    <w:rsid w:val="00FE2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A321E6"/>
  <w15:chartTrackingRefBased/>
  <w15:docId w15:val="{14FC1603-6076-4F1F-BB43-1C86DBA0D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B770F9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030988"/>
    <w:rPr>
      <w:color w:val="808080"/>
    </w:rPr>
  </w:style>
  <w:style w:type="paragraph" w:styleId="ListParagraph">
    <w:name w:val="List Paragraph"/>
    <w:basedOn w:val="Normal"/>
    <w:uiPriority w:val="34"/>
    <w:qFormat/>
    <w:rsid w:val="0044129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34B2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34B2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509D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s://www.sciencedirect.com/science/article/abs/pii/S001910351830121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7</Pages>
  <Words>1105</Words>
  <Characters>6305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Srivastava, Sarthak</dc:creator>
  <cp:keywords/>
  <dc:description/>
  <cp:lastModifiedBy>Motsay, Robert</cp:lastModifiedBy>
  <cp:revision>10</cp:revision>
  <dcterms:created xsi:type="dcterms:W3CDTF">2021-04-12T18:21:00Z</dcterms:created>
  <dcterms:modified xsi:type="dcterms:W3CDTF">2021-04-12T20:36:00Z</dcterms:modified>
</cp:coreProperties>
</file>